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ajorEastAsia" w:hAnsiTheme="majorEastAsia" w:eastAsiaTheme="majorEastAsia" w:cstheme="majorEastAsia"/>
          <w:b/>
          <w:bCs/>
          <w:color w:val="000000" w:themeColor="text1"/>
          <w:sz w:val="52"/>
          <w:szCs w:val="52"/>
          <w14:textFill>
            <w14:solidFill>
              <w14:schemeClr w14:val="tx1"/>
            </w14:solidFill>
          </w14:textFill>
        </w:rPr>
      </w:pPr>
    </w:p>
    <w:p>
      <w:pPr>
        <w:spacing w:line="600" w:lineRule="auto"/>
        <w:jc w:val="center"/>
        <w:rPr>
          <w:rFonts w:hint="default" w:ascii="Times New Roman" w:hAnsi="Times New Roman" w:cs="Times New Roman" w:eastAsiaTheme="majorEastAsia"/>
          <w:b/>
          <w:bCs/>
          <w:color w:val="000000" w:themeColor="text1"/>
          <w:sz w:val="52"/>
          <w:szCs w:val="52"/>
          <w:highlight w:val="none"/>
          <w14:textFill>
            <w14:solidFill>
              <w14:schemeClr w14:val="tx1"/>
            </w14:solidFill>
          </w14:textFill>
        </w:rPr>
      </w:pPr>
      <w:r>
        <w:rPr>
          <w:rFonts w:hint="default" w:ascii="Times New Roman" w:hAnsi="Times New Roman" w:cs="Times New Roman"/>
          <w:b/>
          <w:bCs/>
          <w:color w:val="000033"/>
          <w:sz w:val="52"/>
          <w:szCs w:val="52"/>
          <w:highlight w:val="none"/>
          <w:shd w:val="clear" w:color="auto" w:fill="FFFFFF"/>
        </w:rPr>
        <w:t xml:space="preserve"> Accuracy and efficacy of diagnosis via integrated with metabolomics in patients with PCOS: study protocol for a randomized controlled trial</w:t>
      </w:r>
      <w:r>
        <w:rPr>
          <w:rFonts w:hint="default" w:ascii="Times New Roman" w:hAnsi="Times New Roman" w:cs="Times New Roman"/>
          <w:b/>
          <w:bCs/>
          <w:color w:val="000033"/>
          <w:sz w:val="52"/>
          <w:szCs w:val="52"/>
          <w:highlight w:val="none"/>
        </w:rPr>
        <w:br w:type="textWrapping"/>
      </w:r>
    </w:p>
    <w:p>
      <w:pPr>
        <w:spacing w:line="600" w:lineRule="auto"/>
        <w:jc w:val="center"/>
        <w:rPr>
          <w:rFonts w:hint="default" w:ascii="Times New Roman" w:hAnsi="Times New Roman" w:cs="Times New Roman" w:eastAsiaTheme="majorEastAsia"/>
          <w:b/>
          <w:bCs/>
          <w:color w:val="000000" w:themeColor="text1"/>
          <w:sz w:val="52"/>
          <w:szCs w:val="52"/>
          <w:highlight w:val="none"/>
          <w14:textFill>
            <w14:solidFill>
              <w14:schemeClr w14:val="tx1"/>
            </w14:solidFill>
          </w14:textFill>
        </w:rPr>
      </w:pPr>
      <w:r>
        <w:rPr>
          <w:rFonts w:hint="default" w:ascii="Times New Roman" w:hAnsi="Times New Roman" w:cs="Times New Roman" w:eastAsiaTheme="majorEastAsia"/>
          <w:b/>
          <w:bCs/>
          <w:color w:val="000000" w:themeColor="text1"/>
          <w:sz w:val="52"/>
          <w:szCs w:val="52"/>
          <w:highlight w:val="none"/>
          <w14:textFill>
            <w14:solidFill>
              <w14:schemeClr w14:val="tx1"/>
            </w14:solidFill>
          </w14:textFill>
        </w:rPr>
        <w:t>The consent form for study participation</w:t>
      </w:r>
    </w:p>
    <w:p>
      <w:pPr>
        <w:spacing w:line="600" w:lineRule="auto"/>
        <w:jc w:val="center"/>
        <w:rPr>
          <w:rFonts w:hint="default" w:ascii="Times New Roman" w:hAnsi="Times New Roman" w:cs="Times New Roman" w:eastAsiaTheme="majorEastAsia"/>
          <w:b/>
          <w:bCs/>
          <w:color w:val="000000" w:themeColor="text1"/>
          <w:sz w:val="52"/>
          <w:szCs w:val="52"/>
          <w:highlight w:val="none"/>
          <w14:textFill>
            <w14:solidFill>
              <w14:schemeClr w14:val="tx1"/>
            </w14:solidFill>
          </w14:textFill>
        </w:rPr>
      </w:pPr>
    </w:p>
    <w:p>
      <w:pPr>
        <w:spacing w:line="600" w:lineRule="auto"/>
        <w:jc w:val="center"/>
        <w:rPr>
          <w:rFonts w:hint="default" w:ascii="Times New Roman" w:hAnsi="Times New Roman" w:cs="Times New Roman" w:eastAsiaTheme="majorEastAsia"/>
          <w:b/>
          <w:bCs/>
          <w:i/>
          <w:iCs/>
          <w:color w:val="000000" w:themeColor="text1"/>
          <w:sz w:val="52"/>
          <w:szCs w:val="52"/>
          <w:highlight w:val="none"/>
          <w14:textFill>
            <w14:solidFill>
              <w14:schemeClr w14:val="tx1"/>
            </w14:solidFill>
          </w14:textFill>
        </w:rPr>
      </w:pPr>
    </w:p>
    <w:p>
      <w:pPr>
        <w:spacing w:line="600" w:lineRule="auto"/>
        <w:jc w:val="center"/>
        <w:rPr>
          <w:rFonts w:hint="default" w:ascii="Times New Roman" w:hAnsi="Times New Roman" w:cs="Times New Roman" w:eastAsiaTheme="majorEastAsia"/>
          <w:b/>
          <w:bCs/>
          <w:i/>
          <w:iCs/>
          <w:color w:val="000000" w:themeColor="text1"/>
          <w:sz w:val="52"/>
          <w:szCs w:val="52"/>
          <w:highlight w:val="none"/>
          <w14:textFill>
            <w14:solidFill>
              <w14:schemeClr w14:val="tx1"/>
            </w14:solidFill>
          </w14:textFill>
        </w:rPr>
      </w:pPr>
      <w:r>
        <w:rPr>
          <w:rFonts w:hint="default" w:ascii="Times New Roman" w:hAnsi="Times New Roman" w:cs="Times New Roman" w:eastAsiaTheme="majorEastAsia"/>
          <w:b/>
          <w:bCs/>
          <w:i/>
          <w:iCs/>
          <w:color w:val="000000" w:themeColor="text1"/>
          <w:sz w:val="52"/>
          <w:szCs w:val="52"/>
          <w:highlight w:val="none"/>
          <w14:textFill>
            <w14:solidFill>
              <w14:schemeClr w14:val="tx1"/>
            </w14:solidFill>
          </w14:textFill>
        </w:rPr>
        <w:t xml:space="preserve">2018.04.05 </w:t>
      </w:r>
    </w:p>
    <w:p>
      <w:pPr>
        <w:spacing w:line="600" w:lineRule="auto"/>
        <w:jc w:val="center"/>
        <w:rPr>
          <w:rFonts w:hint="default" w:ascii="Times New Roman" w:hAnsi="Times New Roman" w:cs="Times New Roman" w:eastAsiaTheme="majorEastAsia"/>
          <w:b/>
          <w:bCs/>
          <w:i/>
          <w:iCs/>
          <w:color w:val="000000" w:themeColor="text1"/>
          <w:sz w:val="52"/>
          <w:szCs w:val="52"/>
          <w:highlight w:val="none"/>
          <w:lang w:val="en-US" w:eastAsia="zh-CN"/>
          <w14:textFill>
            <w14:solidFill>
              <w14:schemeClr w14:val="tx1"/>
            </w14:solidFill>
          </w14:textFill>
        </w:rPr>
      </w:pPr>
      <w:r>
        <w:rPr>
          <w:rFonts w:hint="eastAsia" w:cs="Times New Roman" w:eastAsiaTheme="majorEastAsia"/>
          <w:b/>
          <w:bCs/>
          <w:i/>
          <w:iCs/>
          <w:color w:val="000000" w:themeColor="text1"/>
          <w:sz w:val="52"/>
          <w:szCs w:val="52"/>
          <w:highlight w:val="none"/>
          <w:lang w:val="en-US" w:eastAsia="zh-CN"/>
          <w14:textFill>
            <w14:solidFill>
              <w14:schemeClr w14:val="tx1"/>
            </w14:solidFill>
          </w14:textFill>
        </w:rPr>
        <w:t>Version 2</w:t>
      </w:r>
    </w:p>
    <w:p>
      <w:pPr>
        <w:spacing w:line="600" w:lineRule="auto"/>
        <w:jc w:val="center"/>
        <w:rPr>
          <w:rFonts w:hint="default" w:ascii="Times New Roman" w:hAnsi="Times New Roman" w:cs="Times New Roman" w:eastAsiaTheme="majorEastAsia"/>
          <w:b/>
          <w:bCs/>
          <w:i/>
          <w:iCs/>
          <w:color w:val="000000" w:themeColor="text1"/>
          <w:sz w:val="52"/>
          <w:szCs w:val="52"/>
          <w:highlight w:val="none"/>
          <w14:textFill>
            <w14:solidFill>
              <w14:schemeClr w14:val="tx1"/>
            </w14:solidFill>
          </w14:textFill>
        </w:rPr>
      </w:pPr>
    </w:p>
    <w:p>
      <w:pPr>
        <w:spacing w:line="360" w:lineRule="auto"/>
        <w:jc w:val="center"/>
        <w:rPr>
          <w:rFonts w:hint="default" w:ascii="Times New Roman" w:hAnsi="Times New Roman" w:cs="Times New Roman" w:eastAsiaTheme="majorEastAsia"/>
          <w:b/>
          <w:bCs/>
          <w:i/>
          <w:iCs/>
          <w:color w:val="000000" w:themeColor="text1"/>
          <w:sz w:val="24"/>
          <w:szCs w:val="24"/>
          <w:highlight w:val="none"/>
          <w14:textFill>
            <w14:solidFill>
              <w14:schemeClr w14:val="tx1"/>
            </w14:solidFill>
          </w14:textFill>
        </w:rPr>
      </w:pPr>
    </w:p>
    <w:p>
      <w:pPr>
        <w:spacing w:line="360" w:lineRule="auto"/>
        <w:jc w:val="center"/>
        <w:rPr>
          <w:rFonts w:hint="default" w:ascii="Times New Roman" w:hAnsi="Times New Roman" w:cs="Times New Roman" w:eastAsiaTheme="majorEastAsia"/>
          <w:b/>
          <w:bCs/>
          <w:i/>
          <w:iCs/>
          <w:color w:val="000000" w:themeColor="text1"/>
          <w:sz w:val="24"/>
          <w:szCs w:val="24"/>
          <w:highlight w:val="none"/>
          <w14:textFill>
            <w14:solidFill>
              <w14:schemeClr w14:val="tx1"/>
            </w14:solidFill>
          </w14:textFill>
        </w:rPr>
      </w:pPr>
    </w:p>
    <w:p>
      <w:pPr>
        <w:spacing w:line="360" w:lineRule="auto"/>
        <w:jc w:val="center"/>
        <w:rPr>
          <w:rFonts w:hint="default" w:ascii="Times New Roman" w:hAnsi="Times New Roman" w:cs="Times New Roman" w:eastAsiaTheme="majorEastAsia"/>
          <w:b/>
          <w:bCs/>
          <w:i/>
          <w:iCs/>
          <w:color w:val="000000" w:themeColor="text1"/>
          <w:sz w:val="24"/>
          <w:szCs w:val="24"/>
          <w:highlight w:val="none"/>
          <w14:textFill>
            <w14:solidFill>
              <w14:schemeClr w14:val="tx1"/>
            </w14:solidFill>
          </w14:textFill>
        </w:rPr>
      </w:pPr>
    </w:p>
    <w:p>
      <w:pPr>
        <w:spacing w:line="360" w:lineRule="auto"/>
        <w:jc w:val="center"/>
        <w:rPr>
          <w:rFonts w:hint="default" w:ascii="Times New Roman" w:hAnsi="Times New Roman" w:cs="Times New Roman" w:eastAsiaTheme="majorEastAsia"/>
          <w:b/>
          <w:bCs/>
          <w:i/>
          <w:iCs/>
          <w:color w:val="000000" w:themeColor="text1"/>
          <w:sz w:val="24"/>
          <w:szCs w:val="24"/>
          <w:highlight w:val="none"/>
          <w14:textFill>
            <w14:solidFill>
              <w14:schemeClr w14:val="tx1"/>
            </w14:solidFill>
          </w14:textFill>
        </w:rPr>
      </w:pPr>
    </w:p>
    <w:p>
      <w:pPr>
        <w:spacing w:line="360" w:lineRule="auto"/>
        <w:jc w:val="center"/>
        <w:rPr>
          <w:rFonts w:hint="default" w:ascii="Times New Roman" w:hAnsi="Times New Roman" w:cs="Times New Roman" w:eastAsiaTheme="majorEastAsia"/>
          <w:b/>
          <w:bCs/>
          <w:i/>
          <w:iCs/>
          <w:color w:val="000000" w:themeColor="text1"/>
          <w:sz w:val="24"/>
          <w:szCs w:val="24"/>
          <w:highlight w:val="none"/>
          <w14:textFill>
            <w14:solidFill>
              <w14:schemeClr w14:val="tx1"/>
            </w14:solidFill>
          </w14:textFill>
        </w:rPr>
      </w:pPr>
    </w:p>
    <w:p>
      <w:pPr>
        <w:spacing w:line="360" w:lineRule="auto"/>
        <w:jc w:val="center"/>
        <w:rPr>
          <w:rFonts w:hint="default" w:ascii="Times New Roman" w:hAnsi="Times New Roman" w:cs="Times New Roman" w:eastAsiaTheme="majorEastAsia"/>
          <w:b/>
          <w:bCs/>
          <w:i/>
          <w:iCs/>
          <w:color w:val="000000" w:themeColor="text1"/>
          <w:sz w:val="24"/>
          <w:szCs w:val="24"/>
          <w:highlight w:val="none"/>
          <w14:textFill>
            <w14:solidFill>
              <w14:schemeClr w14:val="tx1"/>
            </w14:solidFill>
          </w14:textFill>
        </w:rPr>
      </w:pPr>
    </w:p>
    <w:p>
      <w:pPr>
        <w:spacing w:line="360" w:lineRule="auto"/>
        <w:jc w:val="center"/>
        <w:rPr>
          <w:rFonts w:hint="default" w:ascii="Times New Roman" w:hAnsi="Times New Roman" w:cs="Times New Roman" w:eastAsiaTheme="majorEastAsia"/>
          <w:b/>
          <w:bCs/>
          <w:i/>
          <w:iCs/>
          <w:color w:val="000000" w:themeColor="text1"/>
          <w:sz w:val="24"/>
          <w:szCs w:val="24"/>
          <w:highlight w:val="none"/>
          <w14:textFill>
            <w14:solidFill>
              <w14:schemeClr w14:val="tx1"/>
            </w14:solidFill>
          </w14:textFill>
        </w:rPr>
      </w:pPr>
    </w:p>
    <w:p>
      <w:pPr>
        <w:spacing w:line="360" w:lineRule="auto"/>
        <w:jc w:val="center"/>
        <w:rPr>
          <w:rFonts w:hint="default" w:ascii="Times New Roman" w:hAnsi="Times New Roman" w:cs="Times New Roman" w:eastAsiaTheme="majorEastAsia"/>
          <w:b/>
          <w:bCs/>
          <w:i/>
          <w:iCs/>
          <w:color w:val="000000" w:themeColor="text1"/>
          <w:sz w:val="24"/>
          <w:szCs w:val="24"/>
          <w:highlight w:val="none"/>
          <w14:textFill>
            <w14:solidFill>
              <w14:schemeClr w14:val="tx1"/>
            </w14:solidFill>
          </w14:textFill>
        </w:rPr>
      </w:pPr>
    </w:p>
    <w:p>
      <w:pPr>
        <w:adjustRightInd w:val="0"/>
        <w:snapToGrid w:val="0"/>
        <w:spacing w:line="360" w:lineRule="auto"/>
        <w:jc w:val="center"/>
        <w:rPr>
          <w:rFonts w:hint="default" w:ascii="Times New Roman" w:hAnsi="Times New Roman" w:cs="Times New Roman" w:eastAsiaTheme="minorEastAsia"/>
          <w:b/>
          <w:color w:val="000000" w:themeColor="text1"/>
          <w:sz w:val="28"/>
          <w:szCs w:val="28"/>
          <w:highlight w:val="none"/>
          <w14:textFill>
            <w14:solidFill>
              <w14:schemeClr w14:val="tx1"/>
            </w14:solidFill>
          </w14:textFill>
        </w:rPr>
      </w:pPr>
      <w:bookmarkStart w:id="6" w:name="_GoBack"/>
      <w:bookmarkEnd w:id="6"/>
      <w:r>
        <w:rPr>
          <w:rFonts w:hint="default" w:ascii="Times New Roman" w:hAnsi="Times New Roman" w:cs="Times New Roman" w:eastAsiaTheme="minorEastAsia"/>
          <w:b/>
          <w:color w:val="000000" w:themeColor="text1"/>
          <w:sz w:val="28"/>
          <w:szCs w:val="28"/>
          <w:highlight w:val="none"/>
          <w14:textFill>
            <w14:solidFill>
              <w14:schemeClr w14:val="tx1"/>
            </w14:solidFill>
          </w14:textFill>
        </w:rPr>
        <w:t>the consent form for study participation</w:t>
      </w:r>
    </w:p>
    <w:p>
      <w:pPr>
        <w:adjustRightInd w:val="0"/>
        <w:snapToGrid w:val="0"/>
        <w:spacing w:line="360" w:lineRule="auto"/>
        <w:ind w:firstLine="240" w:firstLineChars="100"/>
        <w:jc w:val="center"/>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Part 1 subject instructions</w:t>
      </w:r>
    </w:p>
    <w:p>
      <w:pPr>
        <w:pStyle w:val="3"/>
        <w:adjustRightInd w:val="0"/>
        <w:snapToGrid w:val="0"/>
        <w:spacing w:line="360" w:lineRule="auto"/>
        <w:ind w:firstLine="48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Dear Sir/madam,</w:t>
      </w:r>
    </w:p>
    <w:p>
      <w:pPr>
        <w:pStyle w:val="3"/>
        <w:adjustRightInd w:val="0"/>
        <w:snapToGrid w:val="0"/>
        <w:spacing w:line="360" w:lineRule="auto"/>
        <w:ind w:firstLine="48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We are going to carry out a randomized controlled trial which is about accuracy and efficacy of diagnosis via integrated with metabolomics in patients with PCOS. You may qualify for the study inclusion criterias, therefore, we invite you to participate in the study, the research is initiated by Wuxi people's hospital, principal investigator is Lan Xu, Qing He.</w:t>
      </w:r>
    </w:p>
    <w:p>
      <w:pPr>
        <w:pStyle w:val="3"/>
        <w:adjustRightInd w:val="0"/>
        <w:snapToGrid w:val="0"/>
        <w:spacing w:line="360" w:lineRule="auto"/>
        <w:ind w:firstLine="48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This informed consent will describe to you the purpose, procedures, benefits, risks, inconvenience or discomfort associated with the study and the main procedures of the study. It will also provide you with information about alternative treatments available to you and your right to withdraw from the study at any time. Please read carefully and make a prudent decision on whether to participate in the study. When the doctor in charge of the study explains and discusses the informed consent, you can always ask questions and ask him or her to explain to you what you don't understand. You can discuss with your family, friends and your doctor before making a decision. Your signature will not deprive you of any legal rights. The original signed informed consent will remain with the investigator and another copy will be kept by you.</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1. What is the research background?</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Polycystic ovary syndrome (PCOS) is an endocrine disorder characterized by loose ovulation or anovulation (including irregular menstruation or amenorrhea, infertility), high androgens (including hairy hair, alopecia, acne, etc.) or insulin resistance, polycystic ovary, affecting 6% to 10% of women of child-bearing age. The pathological mechanism involved is very complex and the pathogenesis is still unclear.</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Previous studies have found that PCOS is mainly related to hormone metabolism, fatty acid metabolism and amino acid metabolism in vivo. Blood samples can be used to measure changes in estrogen, testosterone, cholesterol, triglycerides and insulin. However, PCOS is a very complex metabolic disorder, which needs to be combined with clinical practice. This study will discuss it from a holistic and systematic perspective, integrate metabolomics research results with clinical indicators, and establish an integrated biomarker system, so as to explore the pathogenesis and guide clinical accurate diagnosis and treatment.</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xml:space="preserve">At present, the treatment of PCOS mainly includes: lifestyle intervention, hormone contraceptives (with compound progesterone acetate, namely </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d</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aine-35 as the first choice), metformin, pioglitazone, clomiphene and other drug treatment and surgical treatment.</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2. What is the purpose of the research?</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At present, the clinical diagnosis and treatment standards of PCOS have not been unified, and the treatment effect of patients is not as good as expected, and the optimal fertility time is often missed. This study hopes to collect blood samples from subjects and conduct metabolomics testing, integrate metabolomics research results with clinical indicators, establish an integrated biomarker system, explore the pathogenesis of PCOS and guide clinical accurate diagnosis and treatment.</w:t>
      </w:r>
    </w:p>
    <w:p>
      <w:pPr>
        <w:pStyle w:val="13"/>
        <w:numPr>
          <w:ilvl w:val="0"/>
          <w:numId w:val="0"/>
        </w:numPr>
        <w:spacing w:line="360" w:lineRule="auto"/>
        <w:ind w:left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Who will be invited to take part in the study?</w:t>
      </w:r>
    </w:p>
    <w:p>
      <w:pPr>
        <w:pStyle w:val="13"/>
        <w:spacing w:line="360" w:lineRule="auto"/>
        <w:ind w:firstLine="0" w:firstLineChars="0"/>
        <w:rPr>
          <w:rFonts w:hint="default" w:ascii="Times New Roman" w:hAnsi="Times New Roman" w:cs="Times New Roman" w:eastAsiaTheme="minorEastAsia"/>
          <w:b/>
          <w:bCs/>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b/>
          <w:bCs/>
          <w:color w:val="000000" w:themeColor="text1"/>
          <w:sz w:val="24"/>
          <w:szCs w:val="24"/>
          <w:highlight w:val="none"/>
          <w:shd w:val="clear" w:color="auto" w:fill="FFFFFF"/>
          <w14:textFill>
            <w14:solidFill>
              <w14:schemeClr w14:val="tx1"/>
            </w14:solidFill>
          </w14:textFill>
        </w:rPr>
        <w:t>Participants who meet all the following criteria will be enrolled in the experimental group:</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 xml:space="preserve">1)Diagnosed with PCOS according to the 2018 Chinese Endocrine Society clinical practice consensus. (Diagnosed with the presence of at least two of the following three conditions, and the exclusion of other etiologies must be followed: 1. Clinical or biochemical hyperandrogenism; 2. Oligo-anovulation [menstrual cycle length &gt; 35 days and &lt; 8 menstrual cycles per year]; 3. Polycystic ovaries morphology having at least 25 small follicles [2-9 mm] in the whole ovary, and/or increased ovarian volume ≥ 10 ml. </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2) Aged 18-45 years, reproductive female.</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3) Able and willing to comply with the intervention and follow-up evaluations.</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4)Provides written informed consent prior to being enrolled.</w:t>
      </w:r>
    </w:p>
    <w:p>
      <w:pPr>
        <w:pStyle w:val="13"/>
        <w:spacing w:line="360" w:lineRule="auto"/>
        <w:ind w:firstLine="0" w:firstLineChars="0"/>
        <w:rPr>
          <w:rFonts w:hint="default" w:ascii="Times New Roman" w:hAnsi="Times New Roman" w:cs="Times New Roman" w:eastAsiaTheme="minorEastAsia"/>
          <w:b/>
          <w:bCs/>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b/>
          <w:bCs/>
          <w:color w:val="000000" w:themeColor="text1"/>
          <w:sz w:val="24"/>
          <w:szCs w:val="24"/>
          <w:highlight w:val="none"/>
          <w:shd w:val="clear" w:color="auto" w:fill="FFFFFF"/>
          <w14:textFill>
            <w14:solidFill>
              <w14:schemeClr w14:val="tx1"/>
            </w14:solidFill>
          </w14:textFill>
        </w:rPr>
        <w:t>Exclusion criteria</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Participants will be excluded if they meet any of the following criteria:</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1)Currently receiving treatment in another experimentally study, or just finished another trial less than 30 days ago.</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2)Treated with daine-35, metformin, or other forms of estrogen, progesterone, lipid-regulating, and hypoglycemic drugs (such as glucocorticoids, spironolactone, antibiotics, bacteria regulators, and anti-inflammatory drugs) within 12 weeks.</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3)An allergy or intolerance to</w:t>
      </w:r>
      <w:bookmarkStart w:id="0" w:name="OLE_LINK5"/>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 xml:space="preserve"> daine-35</w:t>
      </w:r>
      <w:bookmarkEnd w:id="0"/>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 metformin, or any of its components.</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4)Suffers from congenital adrenal cortical hyperplasia, hypercorticosis, androgen-secreting tumors, Cushing's syndrome, thyroid dysfunction, hypogonadotropin deficiency, hyperprolactinemia disease, premature ovarian insufficiency, functional hypothalamic amenorrhea, or diabetes.</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5)A medical history of malignant tumors, in particular a gynecological malignant tumor history of surgery, radiation, and chemotherapy.</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6)Suffers from liver function damage (ALT and AST above 1.5 times of the normal limits of the laboratory index) and chronic liver disease.</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7)Suffers from hematopenia or thrombotic disease.</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8)Is pregnant or expects to be pregnant during the study.</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9)In an unstable medical, physical, or mental state.</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10)Has a medical history of symptomatic ventricular arrhythmias with torsion ventricular tachycardia.</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11)Unable to complete the procedures outlined in the study protocol.</w:t>
      </w:r>
    </w:p>
    <w:p>
      <w:pPr>
        <w:pStyle w:val="13"/>
        <w:spacing w:line="360" w:lineRule="auto"/>
        <w:ind w:firstLine="0" w:firstLineChars="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12)Any other situation that would interfere with the study evaluation, procedures, or completion.</w:t>
      </w:r>
    </w:p>
    <w:p>
      <w:pPr>
        <w:spacing w:line="360" w:lineRule="auto"/>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bookmarkStart w:id="1" w:name="OLE_LINK203"/>
      <w:bookmarkStart w:id="2" w:name="OLE_LINK202"/>
      <w:bookmarkStart w:id="3" w:name="OLE_LINK204"/>
      <w:r>
        <w:rPr>
          <w:rFonts w:hint="default" w:ascii="Times New Roman" w:hAnsi="Times New Roman" w:cs="Times New Roman" w:eastAsiaTheme="minorEastAsia"/>
          <w:color w:val="000000" w:themeColor="text1"/>
          <w:sz w:val="24"/>
          <w:szCs w:val="24"/>
          <w:highlight w:val="none"/>
          <w:shd w:val="clear" w:color="auto" w:fill="FFFFFF"/>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 xml:space="preserve"> How many people will take part in the research?</w:t>
      </w:r>
    </w:p>
    <w:p>
      <w:pPr>
        <w:spacing w:line="360" w:lineRule="auto"/>
        <w:ind w:firstLine="480" w:firstLineChars="20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This study plans to recruit 216 PCOS subjects.</w:t>
      </w:r>
    </w:p>
    <w:p>
      <w:pPr>
        <w:spacing w:line="360" w:lineRule="auto"/>
        <w:ind w:firstLine="480" w:firstLineChars="200"/>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The research centers involved in this study include wuxi people's hospital, jiangyin people's hospital and wuxi maternal and child health care hospital.In this study, the recruitment of PCOS subjects was competitive. In other words, no upper limit was set for the recruitment of subjects in each research center, but the recruitment number of PCOS subjects in each research center should not be less than a quarter of the total number of subjects.</w:t>
      </w:r>
    </w:p>
    <w:bookmarkEnd w:id="1"/>
    <w:bookmarkEnd w:id="2"/>
    <w:bookmarkEnd w:id="3"/>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val="0"/>
          <w:bCs/>
          <w:color w:val="000000" w:themeColor="text1"/>
          <w:sz w:val="24"/>
          <w:szCs w:val="24"/>
          <w:highlight w:val="none"/>
          <w:lang w:val="en-US" w:eastAsia="zh-CN"/>
          <w14:textFill>
            <w14:solidFill>
              <w14:schemeClr w14:val="tx1"/>
            </w14:solidFill>
          </w14:textFill>
        </w:rPr>
        <w:t>5</w:t>
      </w:r>
      <w:r>
        <w:rPr>
          <w:rFonts w:hint="default" w:ascii="Times New Roman" w:hAnsi="Times New Roman" w:cs="Times New Roman" w:eastAsiaTheme="minorEastAsia"/>
          <w:b w:val="0"/>
          <w:bCs/>
          <w:color w:val="000000" w:themeColor="text1"/>
          <w:sz w:val="24"/>
          <w:szCs w:val="24"/>
          <w:highlight w:val="none"/>
          <w14:textFill>
            <w14:solidFill>
              <w14:schemeClr w14:val="tx1"/>
            </w14:solidFill>
          </w14:textFill>
        </w:rPr>
        <w:t xml:space="preserve">. </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Do I have to participate in and complete the study?</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If you decide to participate in the study, you will be required to sign this informed consent form and acquire a copy of the informed consent. If you are enrolled in this study, you can still request withdrawal at any time, and your withdrawal will not affect your standard of care.</w:t>
      </w:r>
    </w:p>
    <w:p>
      <w:pPr>
        <w:spacing w:line="36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val="en-US" w:eastAsia="zh-CN"/>
        </w:rPr>
        <w:t>6</w:t>
      </w:r>
      <w:r>
        <w:rPr>
          <w:rFonts w:hint="default" w:ascii="Times New Roman" w:hAnsi="Times New Roman" w:cs="Times New Roman"/>
          <w:sz w:val="24"/>
          <w:szCs w:val="24"/>
          <w:highlight w:val="none"/>
        </w:rPr>
        <w:t>. How was the study conducted?</w:t>
      </w:r>
    </w:p>
    <w:p>
      <w:pPr>
        <w:spacing w:line="36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 xml:space="preserve">Screening: this study is a multicenter, randomized, open-label study. After signing the informed consent(IC), subjects will enter a screening period of 4-6 weeks. Screening evaluations will include: review of inclusion/exclusion criteria, history, past and concurrent medications, physical examination, electrocardiogram, and reporting of adverse events. Blood samples will be collected for metabonomics tests, hematology, routine urine and faeces, blood biochemical examination will also be conducted . Meanwhile, patients' age, weight, height, blood pressure, heart rate, waist, hip circumference, medical history and other information will also collected for analysis, all the childbearing age women will  need to do the  serum pregnancy  test to exclude pregnancy. </w:t>
      </w:r>
    </w:p>
    <w:p>
      <w:pPr>
        <w:spacing w:line="36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 xml:space="preserve">Study grouping: as shown in the figure below, all PCOS subjects (216 cases) meeting the inclusion criteria will be included in this study. You will be randomly divided into </w:t>
      </w:r>
      <w:r>
        <w:rPr>
          <w:rFonts w:ascii="Times New Roman" w:hAnsi="Times New Roman"/>
          <w:sz w:val="24"/>
          <w:szCs w:val="24"/>
        </w:rPr>
        <w:t xml:space="preserve"> </w:t>
      </w:r>
      <w:r>
        <w:rPr>
          <w:rFonts w:hint="eastAsia" w:ascii="Times New Roman" w:hAnsi="Times New Roman"/>
          <w:sz w:val="24"/>
          <w:szCs w:val="24"/>
          <w:lang w:val="en-US" w:eastAsia="zh-CN"/>
        </w:rPr>
        <w:t>two different groups</w:t>
      </w:r>
      <w:r>
        <w:rPr>
          <w:rFonts w:ascii="Times New Roman" w:hAnsi="Times New Roman"/>
          <w:sz w:val="24"/>
          <w:szCs w:val="24"/>
        </w:rPr>
        <w:t>(group 1 based on clinical indexes, group 2 based on metabolomic indexes)</w:t>
      </w:r>
      <w:r>
        <w:rPr>
          <w:rFonts w:hint="eastAsia" w:ascii="Times New Roman" w:hAnsi="Times New Roman"/>
          <w:sz w:val="24"/>
          <w:szCs w:val="24"/>
          <w:lang w:val="en-US" w:eastAsia="zh-CN"/>
        </w:rPr>
        <w:t xml:space="preserve"> </w:t>
      </w:r>
      <w:r>
        <w:rPr>
          <w:rFonts w:hint="default" w:ascii="Times New Roman" w:hAnsi="Times New Roman" w:cs="Times New Roman"/>
          <w:sz w:val="24"/>
          <w:szCs w:val="24"/>
          <w:highlight w:val="none"/>
        </w:rPr>
        <w:t>at a 1:1 ratio, and blood samples will be collected for test. Randomness means that your group is not randomly determined by the research physician, but is generated by the computer to determine your group according to a preset procedure. The group</w:t>
      </w:r>
      <w:r>
        <w:rPr>
          <w:rFonts w:hint="eastAsia" w:cs="Times New Roman"/>
          <w:sz w:val="24"/>
          <w:szCs w:val="24"/>
          <w:highlight w:val="none"/>
          <w:lang w:val="en-US" w:eastAsia="zh-CN"/>
        </w:rPr>
        <w:t xml:space="preserve"> one</w:t>
      </w:r>
      <w:r>
        <w:rPr>
          <w:rFonts w:hint="default" w:ascii="Times New Roman" w:hAnsi="Times New Roman" w:cs="Times New Roman"/>
          <w:sz w:val="24"/>
          <w:szCs w:val="24"/>
          <w:highlight w:val="none"/>
        </w:rPr>
        <w:t xml:space="preserve"> (108 cases) is divided into two subgroups by clinicians based on experience, clinical symptoms and laboratory biochemical indicators: one included participants mainly with hormone metabolism disorders (subgroup 1), while the other included participants mainly with lipid metabolism disorders (subgroup 2).The group </w:t>
      </w:r>
      <w:r>
        <w:rPr>
          <w:rFonts w:hint="eastAsia" w:cs="Times New Roman"/>
          <w:sz w:val="24"/>
          <w:szCs w:val="24"/>
          <w:highlight w:val="none"/>
          <w:lang w:val="en-US" w:eastAsia="zh-CN"/>
        </w:rPr>
        <w:t xml:space="preserve">two </w:t>
      </w:r>
      <w:r>
        <w:rPr>
          <w:rFonts w:hint="default" w:ascii="Times New Roman" w:hAnsi="Times New Roman" w:cs="Times New Roman"/>
          <w:sz w:val="24"/>
          <w:szCs w:val="24"/>
          <w:highlight w:val="none"/>
        </w:rPr>
        <w:t>(108 cases) was also divided into two subgroups</w:t>
      </w:r>
      <w:r>
        <w:rPr>
          <w:rFonts w:hint="eastAsia" w:cs="Times New Roman"/>
          <w:sz w:val="24"/>
          <w:szCs w:val="24"/>
          <w:highlight w:val="none"/>
          <w:lang w:val="en-US" w:eastAsia="zh-CN"/>
        </w:rPr>
        <w:t xml:space="preserve"> as well</w:t>
      </w:r>
      <w:r>
        <w:rPr>
          <w:rFonts w:hint="default" w:ascii="Times New Roman" w:hAnsi="Times New Roman" w:cs="Times New Roman"/>
          <w:sz w:val="24"/>
          <w:szCs w:val="24"/>
          <w:highlight w:val="none"/>
        </w:rPr>
        <w:t>. In addition, both group</w:t>
      </w:r>
      <w:r>
        <w:rPr>
          <w:rFonts w:hint="eastAsia" w:cs="Times New Roman"/>
          <w:sz w:val="24"/>
          <w:szCs w:val="24"/>
          <w:highlight w:val="none"/>
          <w:lang w:val="en-US" w:eastAsia="zh-CN"/>
        </w:rPr>
        <w:t>s</w:t>
      </w:r>
      <w:r>
        <w:rPr>
          <w:rFonts w:hint="default" w:ascii="Times New Roman" w:hAnsi="Times New Roman" w:cs="Times New Roman"/>
          <w:sz w:val="24"/>
          <w:szCs w:val="24"/>
          <w:highlight w:val="none"/>
        </w:rPr>
        <w:t xml:space="preserve"> receive the corresponding treatment according to their respective abnormalities, and the </w:t>
      </w:r>
      <w:r>
        <w:rPr>
          <w:rFonts w:hint="eastAsia" w:cs="Times New Roman"/>
          <w:sz w:val="24"/>
          <w:szCs w:val="24"/>
          <w:highlight w:val="none"/>
          <w:lang w:val="en-US" w:eastAsia="zh-CN"/>
        </w:rPr>
        <w:t xml:space="preserve">same </w:t>
      </w:r>
      <w:r>
        <w:rPr>
          <w:rFonts w:hint="default" w:ascii="Times New Roman" w:hAnsi="Times New Roman" w:cs="Times New Roman"/>
          <w:sz w:val="24"/>
          <w:szCs w:val="24"/>
          <w:highlight w:val="none"/>
        </w:rPr>
        <w:t xml:space="preserve">subgroups will receive the same drugs and regimens </w:t>
      </w:r>
      <w:r>
        <w:rPr>
          <w:rFonts w:hint="eastAsia" w:cs="Times New Roman"/>
          <w:sz w:val="24"/>
          <w:szCs w:val="24"/>
          <w:highlight w:val="none"/>
          <w:lang w:val="en-US" w:eastAsia="zh-CN"/>
        </w:rPr>
        <w:t>advised by</w:t>
      </w:r>
      <w:r>
        <w:rPr>
          <w:rFonts w:hint="default" w:ascii="Times New Roman" w:hAnsi="Times New Roman" w:cs="Times New Roman"/>
          <w:sz w:val="24"/>
          <w:szCs w:val="24"/>
          <w:highlight w:val="none"/>
        </w:rPr>
        <w:t xml:space="preserve"> the consensus of Chinese endocrinologists for the diagnosis and treatment of polycystic ovary syndrome.</w:t>
      </w:r>
    </w:p>
    <w:p>
      <w:pPr>
        <w:spacing w:line="36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Technical roadmap (note: PO: oral, QD: 1 time/day, EOS: end of experiment)</w:t>
      </w:r>
    </w:p>
    <w:p>
      <w:pPr>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sz w:val="24"/>
          <w:szCs w:val="24"/>
          <w:highlight w:val="none"/>
        </w:rPr>
        <w:drawing>
          <wp:inline distT="0" distB="0" distL="114300" distR="114300">
            <wp:extent cx="5058410" cy="2237740"/>
            <wp:effectExtent l="0" t="0" r="8890"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rcRect l="338" t="22032" r="3617" b="2443"/>
                    <a:stretch>
                      <a:fillRect/>
                    </a:stretch>
                  </pic:blipFill>
                  <pic:spPr>
                    <a:xfrm>
                      <a:off x="0" y="0"/>
                      <a:ext cx="5058410" cy="2237740"/>
                    </a:xfrm>
                    <a:prstGeom prst="rect">
                      <a:avLst/>
                    </a:prstGeom>
                    <a:noFill/>
                    <a:ln>
                      <a:noFill/>
                    </a:ln>
                  </pic:spPr>
                </pic:pic>
              </a:graphicData>
            </a:graphic>
          </wp:inline>
        </w:drawing>
      </w:r>
    </w:p>
    <w:p>
      <w:pPr>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p>
    <w:p>
      <w:pPr>
        <w:pStyle w:val="13"/>
        <w:adjustRightInd w:val="0"/>
        <w:snapToGrid w:val="0"/>
        <w:spacing w:line="360" w:lineRule="auto"/>
        <w:ind w:firstLine="0" w:firstLineChars="0"/>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Cs/>
          <w:color w:val="000000" w:themeColor="text1"/>
          <w:sz w:val="24"/>
          <w:szCs w:val="24"/>
          <w:highlight w:val="none"/>
          <w:lang w:val="en-US" w:eastAsia="zh-CN"/>
          <w14:textFill>
            <w14:solidFill>
              <w14:schemeClr w14:val="tx1"/>
            </w14:solidFill>
          </w14:textFill>
        </w:rPr>
        <w:t>7.</w:t>
      </w:r>
      <w:r>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t>Study procedure:</w:t>
      </w:r>
    </w:p>
    <w:p>
      <w:pPr>
        <w:pStyle w:val="13"/>
        <w:adjustRightInd w:val="0"/>
        <w:snapToGrid w:val="0"/>
        <w:spacing w:line="360" w:lineRule="auto"/>
        <w:ind w:firstLine="440"/>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t>The whole study needs to last 45-47 weeks. The screening period is 4-6 weeks. The duration of medication will be 26 weeks. At the end of the treatment, there will be a 15-week follow-up period. Throughout the course of the study, the research physician will keep a close watch on your health and medication.</w:t>
      </w:r>
    </w:p>
    <w:p>
      <w:pPr>
        <w:pStyle w:val="13"/>
        <w:adjustRightInd w:val="0"/>
        <w:snapToGrid w:val="0"/>
        <w:spacing w:line="360" w:lineRule="auto"/>
        <w:ind w:firstLine="440"/>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t>On the day of screening and randomization, at the 4th, 15th, 21st and 26th week of medication, you need to come to the hospital for examination or prescription. The research doctor will contact you one week in advance and make an appointment with you to visit the hospital. The items you need to complete in each visit are shown in the table below.</w:t>
      </w:r>
    </w:p>
    <w:p>
      <w:pPr>
        <w:pStyle w:val="13"/>
        <w:adjustRightInd w:val="0"/>
        <w:snapToGrid w:val="0"/>
        <w:spacing w:line="360" w:lineRule="auto"/>
        <w:ind w:left="359" w:leftChars="171" w:firstLine="440"/>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t>After the end of the medication, you will be interviewed every 4 weeks. Inquiries can be made over the phone or on an outpatient clinic. In addition, we recommend that you receive outpatient follow-up at 8 weeks, 12 weeks and 24 weeks after the start of the medication, so that your physician can understand your situation and deal with it according to your situation promptly. These visits will be treated as a planned external visit.</w:t>
      </w:r>
    </w:p>
    <w:p>
      <w:pPr>
        <w:pStyle w:val="13"/>
        <w:adjustRightInd w:val="0"/>
        <w:snapToGrid w:val="0"/>
        <w:spacing w:line="360" w:lineRule="auto"/>
        <w:ind w:left="359" w:leftChars="171" w:firstLine="440"/>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t>It should be noted that you and your spouse need take contraception measures during the medication period of this study, but not during the follow-up visit period of this study.</w:t>
      </w:r>
    </w:p>
    <w:p>
      <w:pPr>
        <w:adjustRightInd w:val="0"/>
        <w:snapToGrid w:val="0"/>
        <w:spacing w:line="360" w:lineRule="auto"/>
        <w:ind w:left="42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8. If I participate in the study, what do I need to cooperate with?</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Provide accurate medical history and current health information.</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Inform the study physician of any health issues that arise during the study.</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Tell the study physician about any medicines, vitamins or herbs you take during the study in addition to those provided by the study physician.</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You should not take any medications or treatments, including prescription medications and over-the-counter medications (including vitamins and herbs), unless approved by the doctor in charge of the study.</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Take medicine as directed and visit as required.</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At each of your follow-up visits, please inform the study physician of your actual medication use.</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Do not participate in other clinical studies.</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Use appropriate contraception (you will need to use contraception during the study period and not during the follow-up visit).</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Follow the instructions of researchers and study physicians.</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Please feel free to ask if you have any question.</w:t>
      </w:r>
    </w:p>
    <w:p>
      <w:pPr>
        <w:numPr>
          <w:ilvl w:val="1"/>
          <w:numId w:val="1"/>
        </w:num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Blood samples should be tested on an empty stomach when visiting the hospital.</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9. About the blood sample test?</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In this study, we will mainly conduct metabolomics testing on your blood samples, and we will destroy the samples after use.</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10. If I do not participate in this study, do I have alternative treatments?</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xml:space="preserve">You may choose not to participate in this study, which will not adversely affect your access to conventional care. At present, the treatment of PCOS mainly includes: lifestyle intervention, hormone contraceptives (with compound cyprogesterone acetate, namely </w:t>
      </w:r>
      <w:r>
        <w:rPr>
          <w:rFonts w:hint="default" w:ascii="Times New Roman" w:hAnsi="Times New Roman" w:cs="Times New Roman" w:eastAsiaTheme="minorEastAsia"/>
          <w:color w:val="000000" w:themeColor="text1"/>
          <w:sz w:val="24"/>
          <w:szCs w:val="24"/>
          <w:highlight w:val="none"/>
          <w:shd w:val="clear" w:color="auto" w:fill="FFFFFF"/>
          <w14:textFill>
            <w14:solidFill>
              <w14:schemeClr w14:val="tx1"/>
            </w14:solidFill>
          </w14:textFill>
        </w:rPr>
        <w:t xml:space="preserve"> daine-35</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xml:space="preserve"> as the first choice), metformin, pioglitazone, clomiphene and other drug treatment and surgical treatment.</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11. What are the possible side effects, risks and discomforts of participating in a study?</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About therapeutic drugs (the therapeutic drugs involved in the study are all approved drugs, the following information is from the drug instructions) :</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Your study physician will monitor the side effects of your medications throughout the study period. It is important that you report any side effects or discomfort to your study physician immediately during the study period. The research doctor may give you other drugs to control side effects. If you or your study physician determines that you cannot tolerate these side effects, you may reduce, suspend, or completely discontinue the medication, and you may withdraw from the study.</w:t>
      </w:r>
    </w:p>
    <w:p>
      <w:pPr>
        <w:adjustRightInd w:val="0"/>
        <w:snapToGrid w:val="0"/>
        <w:spacing w:line="360" w:lineRule="auto"/>
        <w:ind w:firstLine="482" w:firstLineChars="200"/>
        <w:rPr>
          <w:rFonts w:hint="default" w:ascii="Times New Roman" w:hAnsi="Times New Roman" w:cs="Times New Roman" w:eastAsiaTheme="minorEastAsia"/>
          <w:b/>
          <w:bCs/>
          <w:color w:val="000000" w:themeColor="text1"/>
          <w:sz w:val="24"/>
          <w:szCs w:val="24"/>
          <w:highlight w:val="none"/>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highlight w:val="none"/>
          <w:shd w:val="clear" w:color="auto" w:fill="FFFFFF"/>
          <w:lang w:val="en-US" w:eastAsia="zh-CN"/>
          <w14:textFill>
            <w14:solidFill>
              <w14:schemeClr w14:val="tx1"/>
            </w14:solidFill>
          </w14:textFill>
        </w:rPr>
        <w:t>D</w:t>
      </w:r>
      <w:r>
        <w:rPr>
          <w:rFonts w:hint="default" w:ascii="Times New Roman" w:hAnsi="Times New Roman" w:cs="Times New Roman" w:eastAsiaTheme="minorEastAsia"/>
          <w:b/>
          <w:bCs/>
          <w:color w:val="000000" w:themeColor="text1"/>
          <w:sz w:val="24"/>
          <w:szCs w:val="24"/>
          <w:highlight w:val="none"/>
          <w:shd w:val="clear" w:color="auto" w:fill="FFFFFF"/>
          <w14:textFill>
            <w14:solidFill>
              <w14:schemeClr w14:val="tx1"/>
            </w14:solidFill>
          </w14:textFill>
        </w:rPr>
        <w:t>aine-35</w:t>
      </w:r>
      <w:r>
        <w:rPr>
          <w:rFonts w:hint="default" w:ascii="Times New Roman" w:hAnsi="Times New Roman" w:cs="Times New Roman" w:eastAsiaTheme="minorEastAsia"/>
          <w:b/>
          <w:bCs/>
          <w:color w:val="000000" w:themeColor="text1"/>
          <w:sz w:val="24"/>
          <w:szCs w:val="24"/>
          <w:highlight w:val="none"/>
          <w:shd w:val="clear" w:color="auto" w:fill="FFFFFF"/>
          <w:lang w:eastAsia="zh-CN"/>
          <w14:textFill>
            <w14:solidFill>
              <w14:schemeClr w14:val="tx1"/>
            </w14:solidFill>
          </w14:textFill>
        </w:rPr>
        <w:t>：</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The following serious adverse events have been reported: venous thromboembolism; Arterial thromboembolism; Cerebrovascular accident; High blood  pressure. Hypertriglyceridemia; Changes in glucose tolerance or peripheral insulin resistance; Liver tumors (benign and malignant);Liver dysfunction;Chloasma;In women with hereditary angioedema, exogenous estrogen may induce or exacerbate angioedema symptoms.</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Possible but currently unsubstantiated adverse reactions: cholestasis related jaundice and/or itching; Gallstone formation; Purine disease; Systemic lupus erythematosus; Hemolytic uremic syndromes; Herpes simplex in pregnancy, hearing loss associated with ear sclerosis; Crohn's disease, ulcerative colitis, cervical cancer.</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In addition, the association with breast cancer has not been proven.</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In the event of liver damage, the study physician may prescribe liver - protecting drugs.</w:t>
      </w:r>
    </w:p>
    <w:p>
      <w:pPr>
        <w:adjustRightInd w:val="0"/>
        <w:snapToGrid w:val="0"/>
        <w:spacing w:line="360" w:lineRule="auto"/>
        <w:ind w:firstLine="482" w:firstLineChars="200"/>
        <w:rPr>
          <w:rFonts w:hint="default" w:ascii="Times New Roman" w:hAnsi="Times New Roman" w:cs="Times New Roman" w:eastAsiaTheme="minorEastAsia"/>
          <w:b/>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bCs/>
          <w:color w:val="000000" w:themeColor="text1"/>
          <w:sz w:val="24"/>
          <w:szCs w:val="24"/>
          <w:highlight w:val="none"/>
          <w14:textFill>
            <w14:solidFill>
              <w14:schemeClr w14:val="tx1"/>
            </w14:solidFill>
          </w14:textFill>
        </w:rPr>
        <w:t>Metformin:</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Common adverse reactions include: occasional nausea, vomiting, diarrhea, abdominal pain, abdominal distension, indigestion, fatigue, etc. Occasionally have fatigue, weight loss, headache, dizziness, abnormal taste, rash, chills, flu-like symptoms, palpitations, hot flashes and other phenomena; A rare case of lactic acidosis, characterized by vomiting, abdominal pain, hyperventilation, and disturbance of consciousness.</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For the most common gastrointestinal reactions in the subjects, such as abdominal distension, nausea, vomiting, and diarrhea, these symptoms were mainly dose-dependent and were usually administered by gradual dosing to full volume or with medication at meals. In case of renal damage and lactic acidosis, the drug should be stopped and the study should be withdrawn.</w:t>
      </w:r>
    </w:p>
    <w:p>
      <w:pPr>
        <w:adjustRightInd w:val="0"/>
        <w:snapToGrid w:val="0"/>
        <w:spacing w:line="360" w:lineRule="auto"/>
        <w:ind w:firstLine="482"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bCs/>
          <w:color w:val="000000" w:themeColor="text1"/>
          <w:sz w:val="24"/>
          <w:szCs w:val="24"/>
          <w:highlight w:val="none"/>
          <w14:textFill>
            <w14:solidFill>
              <w14:schemeClr w14:val="tx1"/>
            </w14:solidFill>
          </w14:textFill>
        </w:rPr>
        <w:t>Blood collection:</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xml:space="preserve"> </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In this study, an additional 30 ml (10ml for 3 times) samples will be taken during routine examination, but the number of vascular puncture will not be increased. Routine blood sampling may cause temporary discomfort and/or bruises.</w:t>
      </w:r>
    </w:p>
    <w:p>
      <w:pPr>
        <w:adjustRightInd w:val="0"/>
        <w:snapToGrid w:val="0"/>
        <w:spacing w:line="360" w:lineRule="auto"/>
        <w:ind w:firstLine="482" w:firstLineChars="200"/>
        <w:rPr>
          <w:rFonts w:hint="default" w:ascii="Times New Roman" w:hAnsi="Times New Roman" w:cs="Times New Roman" w:eastAsiaTheme="minorEastAsia"/>
          <w:b/>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bCs/>
          <w:color w:val="000000" w:themeColor="text1"/>
          <w:sz w:val="24"/>
          <w:szCs w:val="24"/>
          <w:highlight w:val="none"/>
          <w14:textFill>
            <w14:solidFill>
              <w14:schemeClr w14:val="tx1"/>
            </w14:solidFill>
          </w14:textFill>
        </w:rPr>
        <w:t>Women with fertility potential:</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You and your spouse should use contraception during the course of this study. If you are sexually active, you should use a method of contraception acceptable to both you and the study physician. You must continue contraception until after the last dose. Contraception was not needed during the follow-up visit phase of this study.</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Before you participate in this study, a pregnancy study is required to determine that you are not pregnant.</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If at any time during the study you become pregnant or suspect a possible pregnancy, it is vital to inform the study physician immediately. If you are pregnant while taking the medication, you will be discontinued from the study and the study physician will discuss with you what you should do. The study physician will provide you with his contact information, and you may be asked about pregnancy and infant issues until the end of the study.</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11. What are the possible benefits of participating in the study?</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There is no direct benefit to you from participating in this study. Your condition may improve, but it may also remain stable or deteriorated. The information obtained from this study may contribute to the accurate diagnosis and treatment of PCOS patients in the future, and may provide better therapy plan.</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12. What if there is new information?</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During the course of a research project, new information about the research may emerge. If new information emerges, your study physician will keep you informed and discuss with you whether you would like to continue to participate in this study. If you decide to discontinue participation in the study, your study physician will schedule follow-up treatment for you. If you decide to continue to participate in the study, you may be required to sign a new informed consent. Or if your study physician believes that you would be best served by withdrawing from the study, he or she will explain the reason and schedule follow-up treatment for you.</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13. Under what circumstances is research suspended?</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You may be required to withdraw from the study if you require additional treatment, or if you do not comply with the study requirements, or if you have a study related injury or for any other reason and the study physician considers that you need to withdraw from the study. If you withdraw from the study for any reason, the study physician may request some final tests for you.</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14. What are the fees for participating in this study? What happens when research-related injuries occur?</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There are no additional risks associated with this study compared to conventional clinical treatment. The cost of routine treatment for your illness will be covered by your medical insurance, and routine medical expenses that cannot be covered by medical insurance will be covered by you.</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bookmarkStart w:id="4" w:name="OLE_LINK3"/>
      <w:bookmarkStart w:id="5" w:name="OLE_LINK4"/>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xml:space="preserve"> Once there are damages related to the study, the investigators will take the relevant expenses (including the diagnosis and treatment) and follow up the situation of the participants until recovery.</w:t>
      </w:r>
      <w:bookmarkEnd w:id="4"/>
      <w:bookmarkEnd w:id="5"/>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In addition, the research institution and its personnel may patent</w:t>
      </w:r>
      <w:r>
        <w:rPr>
          <w:rFonts w:hint="eastAsia" w:cs="Times New Roman" w:eastAsiaTheme="minorEastAsia"/>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the findings of the research, in which case you will not be financially compensated by the research institution or its personnel.</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15.How is my personal information kept secret? How will my personal information be used?</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Any information and data obtained about you during the study will be kept strictly confidential. Your blood/urine/stool samples will be identified by the study number/number and not by your name, and the information that identifies you will not be disclosed to anyone outside the study group unless your permission is obtained. All study members are required to keep your identity confidential. Your files will be kept in a locked locker for researchers only. In order to ensure that the study is carried out in accordance with the regulations, government authorities, monitors or members of the ethics committee may, as required, access the relevant information of your study at the research institution, provided that they undertake not to disclose your information to other parties. Although the results may be published, your identity will not be revealed in these publications. The data of this study will be kept in Wuxi people's hospital.</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Signed the informed consent in writing, stating that you have agreed to the doctors to collect and process your personal information in this study (" data "), including: your birthday, gender, race, physical and mental health status of personal data, unless you withdraw informed consent, otherwise it means that your research data will continue to be used. If you withdraw your informed consent, your personal data will no longer be used by the research physician, but personal data that was shared prior to the withdrawal of your informed consent will remain available.</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xml:space="preserve">You have the right to obtain personal data stored in the researcher and the research institution, and you also have the right to request correction of inaccuracies in your personal data, You have the right to withdraw your informed consent at any time. If you have any of the above requirements, please contact the research physician. </w:t>
      </w:r>
    </w:p>
    <w:p>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The data will not be transferred to other countries and regions outside China.</w:t>
      </w:r>
    </w:p>
    <w:p>
      <w:pPr>
        <w:adjustRightInd w:val="0"/>
        <w:snapToGrid w:val="0"/>
        <w:spacing w:line="360" w:lineRule="auto"/>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Cs/>
          <w:color w:val="000000" w:themeColor="text1"/>
          <w:sz w:val="24"/>
          <w:szCs w:val="24"/>
          <w:highlight w:val="none"/>
          <w14:textFill>
            <w14:solidFill>
              <w14:schemeClr w14:val="tx1"/>
            </w14:solidFill>
          </w14:textFill>
        </w:rPr>
        <w:t>16. Who should I contact if I have questions or difficulties?</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If there are any study-related injuries, or if you have any questions about the study, please contact:</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xml:space="preserve">Name of Doctor：____________ Address：____________   </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xml:space="preserve"> Phone：____________</w:t>
      </w:r>
    </w:p>
    <w:p>
      <w:pPr>
        <w:adjustRightInd w:val="0"/>
        <w:snapToGrid w:val="0"/>
        <w:spacing w:line="360" w:lineRule="auto"/>
        <w:jc w:val="left"/>
        <w:rPr>
          <w:rFonts w:hint="default" w:ascii="Times New Roman" w:hAnsi="Times New Roman" w:cs="Times New Roman" w:eastAsiaTheme="minorEastAsia"/>
          <w:b/>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If you have any question related to the subject's rights and welfares, please contact the ethics committee of Wuxi People's Hospital, address: 299 Qingyang road, 3rd floor, outpatient department, Wuxi People's Hospital, office of ethics committee of Wuxi People's Hospital, Tel: 0510-85351101.</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br w:type="page"/>
      </w:r>
      <w:r>
        <w:rPr>
          <w:rFonts w:hint="default" w:ascii="Times New Roman" w:hAnsi="Times New Roman" w:cs="Times New Roman" w:eastAsiaTheme="minorEastAsia"/>
          <w:b/>
          <w:bCs/>
          <w:color w:val="000000" w:themeColor="text1"/>
          <w:sz w:val="24"/>
          <w:szCs w:val="24"/>
          <w:highlight w:val="none"/>
          <w14:textFill>
            <w14:solidFill>
              <w14:schemeClr w14:val="tx1"/>
            </w14:solidFill>
          </w14:textFill>
        </w:rPr>
        <w:t>Informed consent signature page</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Subject's informed consent statement:</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I have read the informed consent and obtained the background, purpose, steps, risks and benefits of the study. I have had enough time and opportunity to ask questions related to the clinical study and have been satisfactorily answered.</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I understand that participation in this study is voluntary.</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I allow my medical information to be used and Shared as described in the informed consent form.</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I know I can withdraw from the study at any time without loss of interest or other adverse consequences.</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I am willing to cooperate with researchers for relevant examinations or treatments.</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I know that the identity and privacy of individuals participating in this study will be kept strictly confidential.</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I was also told who to contact when I had questions or wanted further information.</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 I will obtain a signed and dated copy of this informed consent.</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Subject's signature (in printed form)：____________</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Subject's signature (handwritt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ing</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)：____________</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Phone：____________</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Date</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：____________</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Note: when the subject or his legal representative is unable to read or write, at least one fair witness must be present.The fair witness must witness the entire process of the informed consent discussion and sign.</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 confirm that the information contained in the informed consent is properly interpreted and clearly understood by the subject and/or the subject's legal representative.Subjects voluntarily agree to participate in this study.</w:t>
      </w:r>
    </w:p>
    <w:p>
      <w:pPr>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Fair witness signature  (in printed form): ____________</w:t>
      </w:r>
    </w:p>
    <w:p>
      <w:pPr>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Fair witness signature (handwriting) : ____________</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Phone：____________</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Date</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：____________</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br w:type="page"/>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Statement of the researcher who performed the informed consent:</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I or my research team have fully explained to the subject the background, purpose, procedures, risks and benefits of the clinical study, and given him/her sufficient time to read the informed consent, discuss with others and answer questions about the study;I have informed the subject of their contact information when they encounter problems;I have informed the subject (or legal representative) that he/she may withdraw from the study at any time during the study period without any reason.</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The investigator's signature (in printed form)：____________</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The investigator's</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signature (handwritt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ing</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)：____________</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Phone：____________</w:t>
      </w:r>
    </w:p>
    <w:p>
      <w:pPr>
        <w:adjustRightInd w:val="0"/>
        <w:snapToGrid w:val="0"/>
        <w:spacing w:line="360" w:lineRule="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Date</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：____________</w:t>
      </w:r>
    </w:p>
    <w:p>
      <w:pPr>
        <w:spacing w:line="360" w:lineRule="auto"/>
        <w:rPr>
          <w:rFonts w:hint="default" w:ascii="Times New Roman" w:hAnsi="Times New Roman" w:cs="Times New Roman"/>
          <w:color w:val="000000" w:themeColor="text1"/>
          <w:sz w:val="24"/>
          <w:szCs w:val="24"/>
          <w:highlight w:val="none"/>
          <w14:textFill>
            <w14:solidFill>
              <w14:schemeClr w14:val="tx1"/>
            </w14:solidFill>
          </w14:textFill>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j4x0QAgAABwQAAA4AAABkcnMvZTJvRG9jLnhtbK1TzY7TMBC+I/EO&#10;lu80aRG7Vd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DoI+MdEAIAAAcEAAAOAAAAAAAAAAEAIAAA&#10;AB8BAABkcnMvZTJvRG9jLnhtbFBLBQYAAAAABgAGAFkBAAChBQ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72479A"/>
    <w:multiLevelType w:val="multilevel"/>
    <w:tmpl w:val="2572479A"/>
    <w:lvl w:ilvl="0" w:tentative="0">
      <w:start w:val="1"/>
      <w:numFmt w:val="decimal"/>
      <w:lvlText w:val="%1."/>
      <w:lvlJc w:val="left"/>
      <w:pPr>
        <w:tabs>
          <w:tab w:val="left" w:pos="360"/>
        </w:tabs>
        <w:ind w:left="360" w:hanging="360"/>
      </w:pPr>
      <w:rPr>
        <w:rFonts w:hint="default"/>
      </w:rPr>
    </w:lvl>
    <w:lvl w:ilvl="1" w:tentative="0">
      <w:start w:val="1"/>
      <w:numFmt w:val="bullet"/>
      <w:lvlText w:val=""/>
      <w:lvlJc w:val="left"/>
      <w:pPr>
        <w:tabs>
          <w:tab w:val="left" w:pos="840"/>
        </w:tabs>
        <w:ind w:left="840" w:hanging="420"/>
      </w:pPr>
      <w:rPr>
        <w:rFonts w:hint="default" w:ascii="Wingdings 2" w:hAnsi="Wingdings 2"/>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F26832"/>
    <w:rsid w:val="001110D3"/>
    <w:rsid w:val="001730F7"/>
    <w:rsid w:val="001B4CD4"/>
    <w:rsid w:val="001E5B15"/>
    <w:rsid w:val="00210212"/>
    <w:rsid w:val="00214EF0"/>
    <w:rsid w:val="00291A67"/>
    <w:rsid w:val="00307089"/>
    <w:rsid w:val="003578FF"/>
    <w:rsid w:val="00361ECC"/>
    <w:rsid w:val="00386A63"/>
    <w:rsid w:val="003B4E6B"/>
    <w:rsid w:val="004242A8"/>
    <w:rsid w:val="00450817"/>
    <w:rsid w:val="004903F3"/>
    <w:rsid w:val="004B2987"/>
    <w:rsid w:val="00546072"/>
    <w:rsid w:val="00546BA2"/>
    <w:rsid w:val="00584599"/>
    <w:rsid w:val="005B1EB2"/>
    <w:rsid w:val="00621D93"/>
    <w:rsid w:val="00623504"/>
    <w:rsid w:val="00634935"/>
    <w:rsid w:val="006434DC"/>
    <w:rsid w:val="0071520E"/>
    <w:rsid w:val="00727BBC"/>
    <w:rsid w:val="00737FA0"/>
    <w:rsid w:val="007A7DA7"/>
    <w:rsid w:val="007B7317"/>
    <w:rsid w:val="007D195F"/>
    <w:rsid w:val="007F42C4"/>
    <w:rsid w:val="00816196"/>
    <w:rsid w:val="00834024"/>
    <w:rsid w:val="0087380C"/>
    <w:rsid w:val="008B4320"/>
    <w:rsid w:val="008D749B"/>
    <w:rsid w:val="00982475"/>
    <w:rsid w:val="009D3E4F"/>
    <w:rsid w:val="009D6524"/>
    <w:rsid w:val="00A209C0"/>
    <w:rsid w:val="00A4412B"/>
    <w:rsid w:val="00A56366"/>
    <w:rsid w:val="00AB6BC7"/>
    <w:rsid w:val="00AE38B2"/>
    <w:rsid w:val="00B50BF9"/>
    <w:rsid w:val="00B557CF"/>
    <w:rsid w:val="00B65406"/>
    <w:rsid w:val="00B92B9B"/>
    <w:rsid w:val="00BA52D0"/>
    <w:rsid w:val="00BD2853"/>
    <w:rsid w:val="00BD3172"/>
    <w:rsid w:val="00BE5A12"/>
    <w:rsid w:val="00C70B10"/>
    <w:rsid w:val="00C90AF8"/>
    <w:rsid w:val="00CE6136"/>
    <w:rsid w:val="00CF37A9"/>
    <w:rsid w:val="00CF4A6B"/>
    <w:rsid w:val="00D27D7A"/>
    <w:rsid w:val="00D31ED3"/>
    <w:rsid w:val="00D6209F"/>
    <w:rsid w:val="00D73620"/>
    <w:rsid w:val="00D86E11"/>
    <w:rsid w:val="00DC6252"/>
    <w:rsid w:val="00E5692D"/>
    <w:rsid w:val="00F51258"/>
    <w:rsid w:val="00FC3EB8"/>
    <w:rsid w:val="02C5190E"/>
    <w:rsid w:val="03CA3188"/>
    <w:rsid w:val="07FC4167"/>
    <w:rsid w:val="083457AA"/>
    <w:rsid w:val="08AB4E04"/>
    <w:rsid w:val="0916585A"/>
    <w:rsid w:val="0DF26832"/>
    <w:rsid w:val="0E517D67"/>
    <w:rsid w:val="17D56804"/>
    <w:rsid w:val="17FC4C4D"/>
    <w:rsid w:val="17FD0DDD"/>
    <w:rsid w:val="189362AF"/>
    <w:rsid w:val="18C36164"/>
    <w:rsid w:val="1AAF22E8"/>
    <w:rsid w:val="1ABA60E6"/>
    <w:rsid w:val="1B2D341D"/>
    <w:rsid w:val="1CC4754E"/>
    <w:rsid w:val="1EE4677F"/>
    <w:rsid w:val="1F8F4EE2"/>
    <w:rsid w:val="22C35D54"/>
    <w:rsid w:val="27D34E26"/>
    <w:rsid w:val="28B61AF6"/>
    <w:rsid w:val="2AF2623A"/>
    <w:rsid w:val="2D414CF7"/>
    <w:rsid w:val="2EB56296"/>
    <w:rsid w:val="2ECE1152"/>
    <w:rsid w:val="30527B66"/>
    <w:rsid w:val="308B3B41"/>
    <w:rsid w:val="310A6199"/>
    <w:rsid w:val="32A1546C"/>
    <w:rsid w:val="33664E5F"/>
    <w:rsid w:val="338346C6"/>
    <w:rsid w:val="34B71CFA"/>
    <w:rsid w:val="375E26BE"/>
    <w:rsid w:val="37CE39B8"/>
    <w:rsid w:val="39637D2C"/>
    <w:rsid w:val="3C581FCB"/>
    <w:rsid w:val="3D3F2581"/>
    <w:rsid w:val="3D514FDC"/>
    <w:rsid w:val="3E2F2D44"/>
    <w:rsid w:val="3FB25C29"/>
    <w:rsid w:val="40D87CD4"/>
    <w:rsid w:val="417C35A3"/>
    <w:rsid w:val="424754A7"/>
    <w:rsid w:val="438113C4"/>
    <w:rsid w:val="4F627B22"/>
    <w:rsid w:val="53463F18"/>
    <w:rsid w:val="540632CA"/>
    <w:rsid w:val="560D1917"/>
    <w:rsid w:val="572C2E15"/>
    <w:rsid w:val="57EA549A"/>
    <w:rsid w:val="58757C69"/>
    <w:rsid w:val="59454779"/>
    <w:rsid w:val="61825485"/>
    <w:rsid w:val="64743869"/>
    <w:rsid w:val="692821D3"/>
    <w:rsid w:val="6D7602AF"/>
    <w:rsid w:val="6DAA34BF"/>
    <w:rsid w:val="6E0B100C"/>
    <w:rsid w:val="6E855EE0"/>
    <w:rsid w:val="6F726414"/>
    <w:rsid w:val="75A6717B"/>
    <w:rsid w:val="75FD00E1"/>
    <w:rsid w:val="76376886"/>
    <w:rsid w:val="79D740C5"/>
    <w:rsid w:val="7B203CA3"/>
    <w:rsid w:val="7ED33B67"/>
    <w:rsid w:val="7F1B287F"/>
    <w:rsid w:val="7FDB5E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unhideWhenUsed/>
    <w:qFormat/>
    <w:uiPriority w:val="0"/>
    <w:rPr>
      <w:rFonts w:ascii="Arial" w:hAnsi="Arial" w:eastAsia="黑体"/>
      <w:sz w:val="20"/>
    </w:rPr>
  </w:style>
  <w:style w:type="paragraph" w:styleId="3">
    <w:name w:val="Body Text"/>
    <w:basedOn w:val="1"/>
    <w:qFormat/>
    <w:uiPriority w:val="0"/>
    <w:rPr>
      <w:sz w:val="24"/>
    </w:rPr>
  </w:style>
  <w:style w:type="paragraph" w:styleId="4">
    <w:name w:val="Balloon Text"/>
    <w:basedOn w:val="1"/>
    <w:link w:val="14"/>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rPr>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bCs/>
    </w:rPr>
  </w:style>
  <w:style w:type="character" w:styleId="12">
    <w:name w:val="Hyperlink"/>
    <w:basedOn w:val="10"/>
    <w:qFormat/>
    <w:uiPriority w:val="0"/>
    <w:rPr>
      <w:color w:val="0000FF"/>
      <w:u w:val="single"/>
    </w:rPr>
  </w:style>
  <w:style w:type="paragraph" w:customStyle="1" w:styleId="13">
    <w:name w:val="列出段落1"/>
    <w:basedOn w:val="1"/>
    <w:qFormat/>
    <w:uiPriority w:val="0"/>
    <w:pPr>
      <w:widowControl/>
      <w:spacing w:line="300" w:lineRule="auto"/>
      <w:ind w:firstLine="420" w:firstLineChars="200"/>
      <w:jc w:val="left"/>
    </w:pPr>
    <w:rPr>
      <w:rFonts w:ascii="Calibri" w:hAnsi="Calibri"/>
    </w:rPr>
  </w:style>
  <w:style w:type="character" w:customStyle="1" w:styleId="14">
    <w:name w:val="批注框文本 Char"/>
    <w:basedOn w:val="10"/>
    <w:link w:val="4"/>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21</Pages>
  <Words>4080</Words>
  <Characters>23257</Characters>
  <Lines>193</Lines>
  <Paragraphs>54</Paragraphs>
  <TotalTime>11</TotalTime>
  <ScaleCrop>false</ScaleCrop>
  <LinksUpToDate>false</LinksUpToDate>
  <CharactersWithSpaces>27283</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2019-12-06T15:22:00Z</dcterms:created>
  <dc:creator>Administrator</dc:creator>
  <cp:lastModifiedBy>倪成铭</cp:lastModifiedBy>
  <dcterms:modified xsi:type="dcterms:W3CDTF">2019-12-08T14:45:29Z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